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F088F8" w14:textId="688F7F12" w:rsidR="00A70F4E" w:rsidRPr="00FE3803" w:rsidRDefault="00F14E45" w:rsidP="00F14E45">
      <w:pPr>
        <w:pStyle w:val="Heading1"/>
        <w:spacing w:before="120"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803">
        <w:rPr>
          <w:rFonts w:ascii="Arial" w:hAnsi="Arial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B4645" wp14:editId="3FB357B7">
                <wp:simplePos x="0" y="0"/>
                <wp:positionH relativeFrom="column">
                  <wp:posOffset>3223895</wp:posOffset>
                </wp:positionH>
                <wp:positionV relativeFrom="paragraph">
                  <wp:posOffset>36195</wp:posOffset>
                </wp:positionV>
                <wp:extent cx="2713355" cy="1064260"/>
                <wp:effectExtent l="19050" t="19050" r="10795" b="21590"/>
                <wp:wrapThrough wrapText="bothSides">
                  <wp:wrapPolygon edited="0">
                    <wp:start x="-152" y="-387"/>
                    <wp:lineTo x="-152" y="21652"/>
                    <wp:lineTo x="21534" y="21652"/>
                    <wp:lineTo x="21534" y="-387"/>
                    <wp:lineTo x="-152" y="-387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1064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084440D" w14:textId="0CBAD906" w:rsidR="00F14E45" w:rsidRPr="00F14E45" w:rsidRDefault="00EB5906" w:rsidP="00F14E45">
                            <w:pPr>
                              <w:pStyle w:val="NoSpacing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As of June 11, the eResearch application for </w:t>
                            </w:r>
                            <w:r w:rsidR="00285FD5">
                              <w:rPr>
                                <w:rFonts w:cstheme="minorHAnsi"/>
                                <w:szCs w:val="24"/>
                              </w:rPr>
                              <w:t xml:space="preserve">projects involving Secondary </w:t>
                            </w:r>
                            <w:r w:rsidR="00F6679D">
                              <w:rPr>
                                <w:rFonts w:cstheme="minorHAnsi"/>
                                <w:szCs w:val="24"/>
                              </w:rPr>
                              <w:t xml:space="preserve">Research </w:t>
                            </w:r>
                            <w:r w:rsidR="00285FD5">
                              <w:rPr>
                                <w:rFonts w:cstheme="minorHAnsi"/>
                                <w:szCs w:val="24"/>
                              </w:rPr>
                              <w:t>Use</w:t>
                            </w:r>
                            <w:r w:rsidR="00F6679D">
                              <w:rPr>
                                <w:rFonts w:cstheme="minorHAnsi"/>
                                <w:szCs w:val="24"/>
                              </w:rPr>
                              <w:t>s</w:t>
                            </w:r>
                            <w:r w:rsidR="00285FD5">
                              <w:rPr>
                                <w:rFonts w:cstheme="minorHAnsi"/>
                                <w:szCs w:val="24"/>
                              </w:rPr>
                              <w:t xml:space="preserve"> of Data and/ Biospecimen will have significant changes to the questions and workflow.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B46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3.85pt;margin-top:2.85pt;width:213.65pt;height:83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" fillcolor="#fff2cc [663]" strokecolor="#1f4d78 [1604]" strokeweight="2.25pt">
                <v:textbox>
                  <w:txbxContent>
                    <w:p w14:paraId="6084440D" w14:textId="0CBAD906" w:rsidR="00F14E45" w:rsidRPr="00F14E45" w:rsidRDefault="00EB5906" w:rsidP="00F14E45">
                      <w:pPr>
                        <w:pStyle w:val="NoSpacing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 xml:space="preserve">As of June 11, the eResearch application for </w:t>
                      </w:r>
                      <w:r w:rsidR="00285FD5">
                        <w:rPr>
                          <w:rFonts w:cstheme="minorHAnsi"/>
                          <w:szCs w:val="24"/>
                        </w:rPr>
                        <w:t xml:space="preserve">projects involving Secondary </w:t>
                      </w:r>
                      <w:r w:rsidR="00F6679D">
                        <w:rPr>
                          <w:rFonts w:cstheme="minorHAnsi"/>
                          <w:szCs w:val="24"/>
                        </w:rPr>
                        <w:t xml:space="preserve">Research </w:t>
                      </w:r>
                      <w:r w:rsidR="00285FD5">
                        <w:rPr>
                          <w:rFonts w:cstheme="minorHAnsi"/>
                          <w:szCs w:val="24"/>
                        </w:rPr>
                        <w:t>Use</w:t>
                      </w:r>
                      <w:r w:rsidR="00F6679D">
                        <w:rPr>
                          <w:rFonts w:cstheme="minorHAnsi"/>
                          <w:szCs w:val="24"/>
                        </w:rPr>
                        <w:t>s</w:t>
                      </w:r>
                      <w:r w:rsidR="00285FD5">
                        <w:rPr>
                          <w:rFonts w:cstheme="minorHAnsi"/>
                          <w:szCs w:val="24"/>
                        </w:rPr>
                        <w:t xml:space="preserve"> of Data and/ Biospecimen will have significant changes to the questions and workflow.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6679D">
        <w:rPr>
          <w:rFonts w:ascii="Arial" w:hAnsi="Arial" w:cs="Arial"/>
          <w:b/>
          <w:color w:val="000000" w:themeColor="text1"/>
          <w:sz w:val="22"/>
          <w:szCs w:val="22"/>
        </w:rPr>
        <w:t>Secondary Research Uses of Private Information or Biospecimens</w:t>
      </w:r>
      <w:r w:rsidR="005F61E4" w:rsidRPr="00FE380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1523B">
        <w:rPr>
          <w:rFonts w:ascii="Arial" w:hAnsi="Arial" w:cs="Arial"/>
          <w:b/>
          <w:color w:val="000000" w:themeColor="text1"/>
          <w:sz w:val="22"/>
          <w:szCs w:val="22"/>
        </w:rPr>
        <w:t>Application</w:t>
      </w:r>
    </w:p>
    <w:p w14:paraId="2CF8D381" w14:textId="4B50AACF" w:rsidR="00A11F59" w:rsidRPr="00FE3803" w:rsidRDefault="005F61E4" w:rsidP="00A11F59">
      <w:pPr>
        <w:rPr>
          <w:rFonts w:ascii="Arial" w:hAnsi="Arial" w:cs="Arial"/>
        </w:rPr>
      </w:pPr>
      <w:r w:rsidRPr="00FE3803">
        <w:rPr>
          <w:rFonts w:ascii="Arial" w:hAnsi="Arial" w:cs="Arial"/>
        </w:rPr>
        <w:t xml:space="preserve">Significant changes have been made to the application path for </w:t>
      </w:r>
      <w:r w:rsidR="00F6679D">
        <w:rPr>
          <w:rFonts w:ascii="Arial" w:hAnsi="Arial" w:cs="Arial"/>
        </w:rPr>
        <w:t xml:space="preserve">all </w:t>
      </w:r>
      <w:r w:rsidRPr="00FE3803">
        <w:rPr>
          <w:rFonts w:ascii="Arial" w:hAnsi="Arial" w:cs="Arial"/>
        </w:rPr>
        <w:t xml:space="preserve">projects </w:t>
      </w:r>
      <w:r w:rsidR="00285FD5">
        <w:rPr>
          <w:rFonts w:ascii="Arial" w:hAnsi="Arial" w:cs="Arial"/>
        </w:rPr>
        <w:t xml:space="preserve">involving secondary use of data and or biospecimens. The </w:t>
      </w:r>
      <w:r w:rsidR="00F6679D">
        <w:rPr>
          <w:rFonts w:ascii="Arial" w:hAnsi="Arial" w:cs="Arial"/>
        </w:rPr>
        <w:t xml:space="preserve">smart form questions will route the application to the correct review and determination path. </w:t>
      </w:r>
      <w:r w:rsidRPr="00FE3803">
        <w:rPr>
          <w:rFonts w:ascii="Arial" w:hAnsi="Arial" w:cs="Arial"/>
        </w:rPr>
        <w:t>The key changes are summarized below.</w:t>
      </w:r>
    </w:p>
    <w:p w14:paraId="28563FAA" w14:textId="1AE0E711" w:rsidR="00A11F59" w:rsidRPr="00FE3803" w:rsidRDefault="005F61E4" w:rsidP="00A11F59">
      <w:pPr>
        <w:rPr>
          <w:rFonts w:ascii="Arial" w:hAnsi="Arial" w:cs="Arial"/>
          <w:b/>
        </w:rPr>
      </w:pPr>
      <w:r w:rsidRPr="00FE3803">
        <w:rPr>
          <w:rFonts w:ascii="Arial" w:hAnsi="Arial" w:cs="Arial"/>
          <w:b/>
        </w:rPr>
        <w:t xml:space="preserve">Change to </w:t>
      </w:r>
      <w:r w:rsidR="00A11F59" w:rsidRPr="00FE3803">
        <w:rPr>
          <w:rFonts w:ascii="Arial" w:hAnsi="Arial" w:cs="Arial"/>
          <w:b/>
        </w:rPr>
        <w:t>Application Type</w:t>
      </w:r>
      <w:r w:rsidRPr="00FE3803">
        <w:rPr>
          <w:rFonts w:ascii="Arial" w:hAnsi="Arial" w:cs="Arial"/>
          <w:b/>
        </w:rPr>
        <w:t>s</w:t>
      </w:r>
    </w:p>
    <w:p w14:paraId="2F46DA97" w14:textId="793602DC" w:rsidR="00EB5906" w:rsidRPr="00FE3803" w:rsidRDefault="00EB5906" w:rsidP="00EB5906">
      <w:pPr>
        <w:rPr>
          <w:rFonts w:ascii="Arial" w:hAnsi="Arial" w:cs="Arial"/>
        </w:rPr>
      </w:pPr>
      <w:r w:rsidRPr="00FE3803">
        <w:rPr>
          <w:rFonts w:ascii="Arial" w:hAnsi="Arial" w:cs="Arial"/>
        </w:rPr>
        <w:t>The new “</w:t>
      </w:r>
      <w:r w:rsidR="00F6679D">
        <w:rPr>
          <w:rFonts w:ascii="Arial" w:hAnsi="Arial" w:cs="Arial"/>
        </w:rPr>
        <w:t>Secondary Research Uses of Private Information or Biospecimens</w:t>
      </w:r>
      <w:r w:rsidRPr="00FE3803">
        <w:rPr>
          <w:rFonts w:ascii="Arial" w:hAnsi="Arial" w:cs="Arial"/>
        </w:rPr>
        <w:t>” applic</w:t>
      </w:r>
      <w:r w:rsidR="0093312B">
        <w:rPr>
          <w:rFonts w:ascii="Arial" w:hAnsi="Arial" w:cs="Arial"/>
        </w:rPr>
        <w:t>ation type will be used for all projects involving the analysis of data or biospecimens only.</w:t>
      </w:r>
    </w:p>
    <w:p w14:paraId="1BD1AFEF" w14:textId="6463E24F" w:rsidR="00687297" w:rsidRPr="00FE3803" w:rsidRDefault="00A11F59" w:rsidP="00687297">
      <w:pPr>
        <w:rPr>
          <w:rFonts w:ascii="Arial" w:hAnsi="Arial" w:cs="Arial"/>
          <w:b/>
        </w:rPr>
      </w:pPr>
      <w:r w:rsidRPr="00FE3803">
        <w:rPr>
          <w:rFonts w:ascii="Arial" w:hAnsi="Arial" w:cs="Arial"/>
          <w:b/>
        </w:rPr>
        <w:t xml:space="preserve">New </w:t>
      </w:r>
      <w:r w:rsidR="00F6679D">
        <w:rPr>
          <w:rFonts w:ascii="Arial" w:hAnsi="Arial" w:cs="Arial"/>
          <w:b/>
        </w:rPr>
        <w:t xml:space="preserve">Scope of Secondary Use Research </w:t>
      </w:r>
      <w:r w:rsidR="0093312B">
        <w:rPr>
          <w:rFonts w:ascii="Arial" w:hAnsi="Arial" w:cs="Arial"/>
          <w:b/>
        </w:rPr>
        <w:t>page (New Section 01-1.2)</w:t>
      </w:r>
    </w:p>
    <w:p w14:paraId="2386DCF8" w14:textId="4C68E46F" w:rsidR="0093312B" w:rsidRDefault="0093312B" w:rsidP="001F47F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This new section elicits the key information about the data or specimens used in the research and consolidates questions found in other sections of the current application.</w:t>
      </w:r>
    </w:p>
    <w:p w14:paraId="01B4FA28" w14:textId="0C9E4972" w:rsidR="0093312B" w:rsidRDefault="0093312B" w:rsidP="001F47F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Responses to these </w:t>
      </w:r>
      <w:proofErr w:type="spellStart"/>
      <w:r>
        <w:rPr>
          <w:rFonts w:cs="Arial"/>
        </w:rPr>
        <w:t>smartform</w:t>
      </w:r>
      <w:proofErr w:type="spellEnd"/>
      <w:r>
        <w:rPr>
          <w:rFonts w:cs="Arial"/>
        </w:rPr>
        <w:t xml:space="preserve"> questions will determine the required questions for the type of review required (comprehensive IRB review, exempt or not regulated).</w:t>
      </w:r>
    </w:p>
    <w:p w14:paraId="63808177" w14:textId="32DCA45D" w:rsidR="005524AF" w:rsidRDefault="0021523B" w:rsidP="0021523B">
      <w:pPr>
        <w:pStyle w:val="ListParagraph"/>
        <w:numPr>
          <w:ilvl w:val="0"/>
          <w:numId w:val="16"/>
        </w:numPr>
      </w:pPr>
      <w:r>
        <w:rPr>
          <w:rFonts w:cs="Arial"/>
        </w:rPr>
        <w:t>For exempt projects, the study protocol will be described in this section rather than in the current Section 5-3 (Exempt Research Design)</w:t>
      </w:r>
      <w:r w:rsidR="00FE3803">
        <w:t xml:space="preserve"> </w:t>
      </w:r>
    </w:p>
    <w:p w14:paraId="14DC8857" w14:textId="77777777" w:rsidR="0021523B" w:rsidRDefault="0021523B" w:rsidP="0021523B">
      <w:pPr>
        <w:rPr>
          <w:rFonts w:ascii="Arial" w:hAnsi="Arial" w:cs="Arial"/>
          <w:b/>
        </w:rPr>
      </w:pPr>
    </w:p>
    <w:p w14:paraId="71FCAC2C" w14:textId="74AC6646" w:rsidR="0021523B" w:rsidRPr="0021523B" w:rsidRDefault="0021523B" w:rsidP="0021523B">
      <w:pPr>
        <w:rPr>
          <w:rFonts w:ascii="Arial" w:hAnsi="Arial" w:cs="Arial"/>
          <w:b/>
        </w:rPr>
      </w:pPr>
      <w:r w:rsidRPr="0021523B">
        <w:rPr>
          <w:rFonts w:ascii="Arial" w:hAnsi="Arial" w:cs="Arial"/>
          <w:b/>
        </w:rPr>
        <w:t>Secondary Data Analysis Section 24</w:t>
      </w:r>
    </w:p>
    <w:p w14:paraId="5AECA53D" w14:textId="08B04EE8" w:rsidR="0021523B" w:rsidRPr="0021523B" w:rsidRDefault="0021523B" w:rsidP="0021523B">
      <w:pPr>
        <w:pStyle w:val="ListParagraph"/>
        <w:numPr>
          <w:ilvl w:val="0"/>
          <w:numId w:val="20"/>
        </w:numPr>
        <w:rPr>
          <w:b/>
        </w:rPr>
      </w:pPr>
      <w:r>
        <w:t>The questions for this section of the application have been consolidated.</w:t>
      </w:r>
    </w:p>
    <w:sectPr w:rsidR="0021523B" w:rsidRPr="0021523B" w:rsidSect="00A70F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920E7" w14:textId="77777777" w:rsidR="00893035" w:rsidRDefault="00893035" w:rsidP="008A1CDD">
      <w:pPr>
        <w:spacing w:after="0" w:line="240" w:lineRule="auto"/>
      </w:pPr>
      <w:r>
        <w:separator/>
      </w:r>
    </w:p>
  </w:endnote>
  <w:endnote w:type="continuationSeparator" w:id="0">
    <w:p w14:paraId="20BCB120" w14:textId="77777777" w:rsidR="00893035" w:rsidRDefault="00893035" w:rsidP="008A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AAB49" w14:textId="4177EC15" w:rsidR="004E4B6F" w:rsidRDefault="004E4B6F">
    <w:pPr>
      <w:pStyle w:val="Footer"/>
    </w:pPr>
    <w:r>
      <w:tab/>
    </w:r>
    <w:r>
      <w:tab/>
      <w:t>5.29.2018</w:t>
    </w:r>
  </w:p>
  <w:p w14:paraId="17CC9CC2" w14:textId="77777777" w:rsidR="004E4B6F" w:rsidRDefault="004E4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FC40" w14:textId="77777777" w:rsidR="00893035" w:rsidRDefault="00893035" w:rsidP="008A1CDD">
      <w:pPr>
        <w:spacing w:after="0" w:line="240" w:lineRule="auto"/>
      </w:pPr>
      <w:r>
        <w:separator/>
      </w:r>
    </w:p>
  </w:footnote>
  <w:footnote w:type="continuationSeparator" w:id="0">
    <w:p w14:paraId="37AF42B3" w14:textId="77777777" w:rsidR="00893035" w:rsidRDefault="00893035" w:rsidP="008A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3565" w14:textId="0A44F9DE" w:rsidR="008A1CDD" w:rsidRDefault="008A1CDD" w:rsidP="008A1CDD">
    <w:pPr>
      <w:pStyle w:val="Header"/>
      <w:tabs>
        <w:tab w:val="clear" w:pos="4680"/>
      </w:tabs>
      <w:jc w:val="right"/>
    </w:pPr>
    <w:r w:rsidRPr="0004037D">
      <w:rPr>
        <w:rFonts w:cstheme="minorHAnsi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279DD" wp14:editId="1F9450C3">
              <wp:simplePos x="0" y="0"/>
              <wp:positionH relativeFrom="column">
                <wp:posOffset>3459296</wp:posOffset>
              </wp:positionH>
              <wp:positionV relativeFrom="paragraph">
                <wp:posOffset>-358049</wp:posOffset>
              </wp:positionV>
              <wp:extent cx="2374265" cy="903383"/>
              <wp:effectExtent l="0" t="0" r="381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9033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156B0" w14:textId="65F9C4D5" w:rsidR="008A1CDD" w:rsidRPr="00F6679D" w:rsidRDefault="008A1CDD" w:rsidP="00F6679D">
                          <w:pPr>
                            <w:jc w:val="center"/>
                            <w:rPr>
                              <w:rFonts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Tip Sheet: </w:t>
                          </w:r>
                          <w:r w:rsidR="00EB5906">
                            <w:rPr>
                              <w:rFonts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Changes to the eResearch Application for </w:t>
                          </w:r>
                          <w:r w:rsidR="00F6679D">
                            <w:rPr>
                              <w:rFonts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Secondary Use Projects – June 2</w:t>
                          </w:r>
                          <w:r>
                            <w:rPr>
                              <w:rFonts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27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2.4pt;margin-top:-28.2pt;width:186.95pt;height:71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pQIAIAABw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" stroked="f">
              <v:textbox>
                <w:txbxContent>
                  <w:p w14:paraId="20B156B0" w14:textId="65F9C4D5" w:rsidR="008A1CDD" w:rsidRPr="00F6679D" w:rsidRDefault="008A1CDD" w:rsidP="00F6679D">
                    <w:pPr>
                      <w:jc w:val="center"/>
                      <w:rPr>
                        <w:rFonts w:eastAsia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Tip Sheet: </w:t>
                    </w:r>
                    <w:r w:rsidR="00EB5906">
                      <w:rPr>
                        <w:rFonts w:eastAsia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Changes to the eResearch Application for </w:t>
                    </w:r>
                    <w:r w:rsidR="00F6679D">
                      <w:rPr>
                        <w:rFonts w:eastAsia="Times New Roman" w:cs="Times New Roman"/>
                        <w:b/>
                        <w:color w:val="000000"/>
                        <w:sz w:val="24"/>
                        <w:szCs w:val="24"/>
                      </w:rPr>
                      <w:t>Secondary Use Projects – June 2</w:t>
                    </w:r>
                    <w:r>
                      <w:rPr>
                        <w:rFonts w:eastAsia="Times New Roman" w:cs="Times New Roman"/>
                        <w:b/>
                        <w:color w:val="000000"/>
                        <w:sz w:val="24"/>
                        <w:szCs w:val="24"/>
                      </w:rPr>
                      <w:t>018</w:t>
                    </w:r>
                  </w:p>
                </w:txbxContent>
              </v:textbox>
            </v:shape>
          </w:pict>
        </mc:Fallback>
      </mc:AlternateContent>
    </w:r>
    <w:r w:rsidRPr="0004037D">
      <w:rPr>
        <w:rFonts w:cstheme="minorHAnsi"/>
        <w:noProof/>
        <w:szCs w:val="24"/>
      </w:rPr>
      <w:drawing>
        <wp:inline distT="0" distB="0" distL="0" distR="0" wp14:anchorId="4F6D796D" wp14:editId="35D82184">
          <wp:extent cx="2959400" cy="44106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-signat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3" cy="442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18469CD" w14:textId="7CCEE4AC" w:rsidR="008A1CDD" w:rsidRDefault="00893035" w:rsidP="008A1CDD">
    <w:pPr>
      <w:pStyle w:val="Header"/>
      <w:tabs>
        <w:tab w:val="clear" w:pos="4680"/>
      </w:tabs>
      <w:jc w:val="right"/>
    </w:pPr>
    <w:r>
      <w:rPr>
        <w:rFonts w:cstheme="minorHAnsi"/>
        <w:noProof/>
        <w:szCs w:val="24"/>
      </w:rPr>
      <w:pict w14:anchorId="28278782">
        <v:rect id="_x0000_i1025" alt="" style="width:468pt;height:3pt;mso-width-percent:0;mso-height-percent:0;mso-width-percent:0;mso-height-percent:0" o:hrstd="t" o:hrnoshade="t" o:hr="t" fillcolor="#44546a [3215]" stroked="f"/>
      </w:pict>
    </w:r>
  </w:p>
  <w:p w14:paraId="6E6853B3" w14:textId="77777777" w:rsidR="008A1CDD" w:rsidRDefault="008A1CDD" w:rsidP="008A1CDD">
    <w:pPr>
      <w:pStyle w:val="Header"/>
      <w:tabs>
        <w:tab w:val="clear" w:pos="46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F7A"/>
    <w:multiLevelType w:val="hybridMultilevel"/>
    <w:tmpl w:val="72D4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CA3"/>
    <w:multiLevelType w:val="hybridMultilevel"/>
    <w:tmpl w:val="2E3A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71C"/>
    <w:multiLevelType w:val="hybridMultilevel"/>
    <w:tmpl w:val="9944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07C1"/>
    <w:multiLevelType w:val="hybridMultilevel"/>
    <w:tmpl w:val="2208F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35262"/>
    <w:multiLevelType w:val="hybridMultilevel"/>
    <w:tmpl w:val="EF4E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33ED"/>
    <w:multiLevelType w:val="hybridMultilevel"/>
    <w:tmpl w:val="7322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65755"/>
    <w:multiLevelType w:val="hybridMultilevel"/>
    <w:tmpl w:val="1F42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2BD8"/>
    <w:multiLevelType w:val="hybridMultilevel"/>
    <w:tmpl w:val="4F8E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F5062"/>
    <w:multiLevelType w:val="hybridMultilevel"/>
    <w:tmpl w:val="FD58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734E"/>
    <w:multiLevelType w:val="hybridMultilevel"/>
    <w:tmpl w:val="9E80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712F"/>
    <w:multiLevelType w:val="hybridMultilevel"/>
    <w:tmpl w:val="BDD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B6E60"/>
    <w:multiLevelType w:val="hybridMultilevel"/>
    <w:tmpl w:val="6B3A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A0687"/>
    <w:multiLevelType w:val="hybridMultilevel"/>
    <w:tmpl w:val="272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F1A2A"/>
    <w:multiLevelType w:val="hybridMultilevel"/>
    <w:tmpl w:val="DB145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ED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257E0">
      <w:start w:val="1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29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6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27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25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8F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0A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582940"/>
    <w:multiLevelType w:val="hybridMultilevel"/>
    <w:tmpl w:val="BB1224F2"/>
    <w:lvl w:ilvl="0" w:tplc="9E140F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3344A"/>
    <w:multiLevelType w:val="hybridMultilevel"/>
    <w:tmpl w:val="7084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42386"/>
    <w:multiLevelType w:val="hybridMultilevel"/>
    <w:tmpl w:val="58B0E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3B0EB7"/>
    <w:multiLevelType w:val="hybridMultilevel"/>
    <w:tmpl w:val="B23E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F7D8F"/>
    <w:multiLevelType w:val="hybridMultilevel"/>
    <w:tmpl w:val="AC14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4191"/>
    <w:multiLevelType w:val="hybridMultilevel"/>
    <w:tmpl w:val="0EDC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3"/>
  </w:num>
  <w:num w:numId="5">
    <w:abstractNumId w:val="2"/>
  </w:num>
  <w:num w:numId="6">
    <w:abstractNumId w:val="10"/>
  </w:num>
  <w:num w:numId="7">
    <w:abstractNumId w:val="18"/>
  </w:num>
  <w:num w:numId="8">
    <w:abstractNumId w:val="17"/>
  </w:num>
  <w:num w:numId="9">
    <w:abstractNumId w:val="12"/>
  </w:num>
  <w:num w:numId="10">
    <w:abstractNumId w:val="6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  <w:num w:numId="17">
    <w:abstractNumId w:val="4"/>
  </w:num>
  <w:num w:numId="18">
    <w:abstractNumId w:val="8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0A"/>
    <w:rsid w:val="00026CF3"/>
    <w:rsid w:val="00042821"/>
    <w:rsid w:val="00044E87"/>
    <w:rsid w:val="00052CB8"/>
    <w:rsid w:val="000B3F6B"/>
    <w:rsid w:val="000B7444"/>
    <w:rsid w:val="000C5930"/>
    <w:rsid w:val="000E2596"/>
    <w:rsid w:val="000E67E0"/>
    <w:rsid w:val="00105832"/>
    <w:rsid w:val="00105A00"/>
    <w:rsid w:val="00136920"/>
    <w:rsid w:val="001451AB"/>
    <w:rsid w:val="0014681A"/>
    <w:rsid w:val="001839D6"/>
    <w:rsid w:val="001905BD"/>
    <w:rsid w:val="0019481C"/>
    <w:rsid w:val="001D5F82"/>
    <w:rsid w:val="001E66AD"/>
    <w:rsid w:val="001E755C"/>
    <w:rsid w:val="001F47F4"/>
    <w:rsid w:val="001F5C7D"/>
    <w:rsid w:val="00205CCA"/>
    <w:rsid w:val="0021523B"/>
    <w:rsid w:val="002305EE"/>
    <w:rsid w:val="00234A96"/>
    <w:rsid w:val="00265013"/>
    <w:rsid w:val="00285FD5"/>
    <w:rsid w:val="002F38A2"/>
    <w:rsid w:val="00311142"/>
    <w:rsid w:val="00333B85"/>
    <w:rsid w:val="003378AF"/>
    <w:rsid w:val="0034139B"/>
    <w:rsid w:val="00351B3A"/>
    <w:rsid w:val="00355EC6"/>
    <w:rsid w:val="0037088A"/>
    <w:rsid w:val="00376A71"/>
    <w:rsid w:val="0038203C"/>
    <w:rsid w:val="00392CA9"/>
    <w:rsid w:val="003B1C1A"/>
    <w:rsid w:val="003B4640"/>
    <w:rsid w:val="003E6EE7"/>
    <w:rsid w:val="003F1503"/>
    <w:rsid w:val="00413EE1"/>
    <w:rsid w:val="004225FA"/>
    <w:rsid w:val="004235C8"/>
    <w:rsid w:val="00460F2B"/>
    <w:rsid w:val="00472429"/>
    <w:rsid w:val="004909EC"/>
    <w:rsid w:val="004B2BFC"/>
    <w:rsid w:val="004E0F3A"/>
    <w:rsid w:val="004E3E56"/>
    <w:rsid w:val="004E4B6F"/>
    <w:rsid w:val="00551B8A"/>
    <w:rsid w:val="005524AF"/>
    <w:rsid w:val="005727A0"/>
    <w:rsid w:val="005730B8"/>
    <w:rsid w:val="0059103F"/>
    <w:rsid w:val="005922B2"/>
    <w:rsid w:val="005A5FF4"/>
    <w:rsid w:val="005B31F1"/>
    <w:rsid w:val="005D69E2"/>
    <w:rsid w:val="005E7ADC"/>
    <w:rsid w:val="005F61E4"/>
    <w:rsid w:val="00651B01"/>
    <w:rsid w:val="00653664"/>
    <w:rsid w:val="006712F5"/>
    <w:rsid w:val="00687297"/>
    <w:rsid w:val="00694665"/>
    <w:rsid w:val="006B52FE"/>
    <w:rsid w:val="006E6426"/>
    <w:rsid w:val="007308A3"/>
    <w:rsid w:val="00756A83"/>
    <w:rsid w:val="00763CCE"/>
    <w:rsid w:val="00767BAC"/>
    <w:rsid w:val="00783B8C"/>
    <w:rsid w:val="007B66B0"/>
    <w:rsid w:val="007C0AB1"/>
    <w:rsid w:val="007C21BF"/>
    <w:rsid w:val="00821209"/>
    <w:rsid w:val="00830C06"/>
    <w:rsid w:val="00863C1B"/>
    <w:rsid w:val="008647A6"/>
    <w:rsid w:val="00866E87"/>
    <w:rsid w:val="00893035"/>
    <w:rsid w:val="008A1CDD"/>
    <w:rsid w:val="008C513D"/>
    <w:rsid w:val="008D2F00"/>
    <w:rsid w:val="008D4467"/>
    <w:rsid w:val="008E77EF"/>
    <w:rsid w:val="00911118"/>
    <w:rsid w:val="00913E1A"/>
    <w:rsid w:val="009168F6"/>
    <w:rsid w:val="00917A90"/>
    <w:rsid w:val="009242CA"/>
    <w:rsid w:val="00925075"/>
    <w:rsid w:val="0093312B"/>
    <w:rsid w:val="009A17AD"/>
    <w:rsid w:val="009D406D"/>
    <w:rsid w:val="009D5922"/>
    <w:rsid w:val="009E5DB9"/>
    <w:rsid w:val="009E5F2A"/>
    <w:rsid w:val="00A06C32"/>
    <w:rsid w:val="00A11F59"/>
    <w:rsid w:val="00A165D0"/>
    <w:rsid w:val="00A23A9C"/>
    <w:rsid w:val="00A43553"/>
    <w:rsid w:val="00A70F4E"/>
    <w:rsid w:val="00A849FD"/>
    <w:rsid w:val="00AC5945"/>
    <w:rsid w:val="00AD46A8"/>
    <w:rsid w:val="00B32FEA"/>
    <w:rsid w:val="00B43855"/>
    <w:rsid w:val="00B86065"/>
    <w:rsid w:val="00BF1181"/>
    <w:rsid w:val="00C175B5"/>
    <w:rsid w:val="00C57464"/>
    <w:rsid w:val="00CA04DD"/>
    <w:rsid w:val="00CB0051"/>
    <w:rsid w:val="00CB68B6"/>
    <w:rsid w:val="00CB7BC4"/>
    <w:rsid w:val="00CF2124"/>
    <w:rsid w:val="00D169C7"/>
    <w:rsid w:val="00D3479F"/>
    <w:rsid w:val="00D42468"/>
    <w:rsid w:val="00D5606F"/>
    <w:rsid w:val="00D72C16"/>
    <w:rsid w:val="00D7320A"/>
    <w:rsid w:val="00DB79FF"/>
    <w:rsid w:val="00DD551C"/>
    <w:rsid w:val="00E34452"/>
    <w:rsid w:val="00E43747"/>
    <w:rsid w:val="00E44B6A"/>
    <w:rsid w:val="00E61674"/>
    <w:rsid w:val="00E67137"/>
    <w:rsid w:val="00EB155E"/>
    <w:rsid w:val="00EB5906"/>
    <w:rsid w:val="00ED6944"/>
    <w:rsid w:val="00F14E45"/>
    <w:rsid w:val="00F24C0B"/>
    <w:rsid w:val="00F52BA7"/>
    <w:rsid w:val="00F6679D"/>
    <w:rsid w:val="00FA6A36"/>
    <w:rsid w:val="00FB2520"/>
    <w:rsid w:val="00FE3803"/>
    <w:rsid w:val="00FE62AD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086D2"/>
  <w15:chartTrackingRefBased/>
  <w15:docId w15:val="{DBB412D0-F54D-4B9D-A14B-F73A8624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AB1"/>
    <w:pPr>
      <w:spacing w:after="0" w:line="240" w:lineRule="auto"/>
      <w:ind w:left="720"/>
      <w:contextualSpacing/>
    </w:pPr>
    <w:rPr>
      <w:rFonts w:ascii="Arial" w:hAnsi="Arial"/>
      <w:lang w:bidi="en-US"/>
    </w:rPr>
  </w:style>
  <w:style w:type="paragraph" w:styleId="NormalWeb">
    <w:name w:val="Normal (Web)"/>
    <w:basedOn w:val="Normal"/>
    <w:unhideWhenUsed/>
    <w:rsid w:val="0076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43553"/>
    <w:pPr>
      <w:spacing w:after="0" w:line="240" w:lineRule="auto"/>
    </w:pPr>
    <w:rPr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43553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6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DD"/>
  </w:style>
  <w:style w:type="paragraph" w:styleId="Footer">
    <w:name w:val="footer"/>
    <w:basedOn w:val="Normal"/>
    <w:link w:val="FooterChar"/>
    <w:uiPriority w:val="99"/>
    <w:unhideWhenUsed/>
    <w:rsid w:val="008A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DD"/>
  </w:style>
  <w:style w:type="character" w:customStyle="1" w:styleId="Heading1Char">
    <w:name w:val="Heading 1 Char"/>
    <w:basedOn w:val="DefaultParagraphFont"/>
    <w:link w:val="Heading1"/>
    <w:uiPriority w:val="9"/>
    <w:rsid w:val="008A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F1B9-E342-44F1-8FC1-21746B07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Mrdjenovich, Adam</dc:creator>
  <cp:keywords/>
  <dc:description/>
  <cp:lastModifiedBy>Mrdjenovich, Adam</cp:lastModifiedBy>
  <cp:revision>2</cp:revision>
  <cp:lastPrinted>2018-05-18T16:27:00Z</cp:lastPrinted>
  <dcterms:created xsi:type="dcterms:W3CDTF">2018-05-30T12:23:00Z</dcterms:created>
  <dcterms:modified xsi:type="dcterms:W3CDTF">2018-05-30T12:23:00Z</dcterms:modified>
</cp:coreProperties>
</file>